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F94" w:rsidRPr="00B13F94" w:rsidRDefault="00B13F94">
      <w:pPr>
        <w:rPr>
          <w:lang w:val="en-US"/>
        </w:rPr>
      </w:pPr>
    </w:p>
    <w:tbl>
      <w:tblPr>
        <w:tblStyle w:val="TableGrid"/>
        <w:tblW w:w="14454" w:type="dxa"/>
        <w:tblLook w:val="04A0" w:firstRow="1" w:lastRow="0" w:firstColumn="1" w:lastColumn="0" w:noHBand="0" w:noVBand="1"/>
      </w:tblPr>
      <w:tblGrid>
        <w:gridCol w:w="522"/>
        <w:gridCol w:w="6986"/>
        <w:gridCol w:w="6946"/>
      </w:tblGrid>
      <w:tr w:rsidR="00BD4BD5" w:rsidRPr="009B1E05" w:rsidTr="00BD4BD5">
        <w:tc>
          <w:tcPr>
            <w:tcW w:w="522" w:type="dxa"/>
          </w:tcPr>
          <w:p w:rsidR="00BD4BD5" w:rsidRPr="009B1E05" w:rsidRDefault="00BD4BD5">
            <w:pPr>
              <w:rPr>
                <w:b/>
                <w:bCs/>
                <w:szCs w:val="22"/>
                <w:u w:val="single"/>
                <w:lang w:val="en-US"/>
              </w:rPr>
            </w:pPr>
            <w:r w:rsidRPr="009B1E05">
              <w:rPr>
                <w:b/>
                <w:bCs/>
                <w:szCs w:val="22"/>
                <w:u w:val="single"/>
                <w:lang w:val="en-US"/>
              </w:rPr>
              <w:t xml:space="preserve">Sl </w:t>
            </w:r>
          </w:p>
        </w:tc>
        <w:tc>
          <w:tcPr>
            <w:tcW w:w="6986" w:type="dxa"/>
          </w:tcPr>
          <w:p w:rsidR="00BD4BD5" w:rsidRPr="009B1E05" w:rsidRDefault="00BD4BD5">
            <w:pPr>
              <w:rPr>
                <w:b/>
                <w:bCs/>
                <w:szCs w:val="22"/>
                <w:u w:val="single"/>
                <w:lang w:val="en-US"/>
              </w:rPr>
            </w:pPr>
            <w:r w:rsidRPr="009B1E05">
              <w:rPr>
                <w:b/>
                <w:bCs/>
                <w:szCs w:val="22"/>
                <w:u w:val="single"/>
                <w:lang w:val="en-US"/>
              </w:rPr>
              <w:t>Discussion Point</w:t>
            </w:r>
          </w:p>
        </w:tc>
        <w:tc>
          <w:tcPr>
            <w:tcW w:w="6946" w:type="dxa"/>
          </w:tcPr>
          <w:p w:rsidR="00BD4BD5" w:rsidRPr="009B1E05" w:rsidRDefault="00BD4BD5">
            <w:pPr>
              <w:rPr>
                <w:b/>
                <w:bCs/>
                <w:szCs w:val="22"/>
                <w:u w:val="single"/>
                <w:lang w:val="en-US"/>
              </w:rPr>
            </w:pPr>
            <w:r w:rsidRPr="009B1E05">
              <w:rPr>
                <w:b/>
                <w:bCs/>
                <w:szCs w:val="22"/>
                <w:u w:val="single"/>
                <w:lang w:val="en-US"/>
              </w:rPr>
              <w:t xml:space="preserve"> Resolution</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Plot Plan of the Plant.</w:t>
            </w:r>
          </w:p>
          <w:p w:rsidR="00BD4BD5" w:rsidRPr="009B1E05" w:rsidRDefault="00BD4BD5" w:rsidP="003F2803">
            <w:pPr>
              <w:rPr>
                <w:b/>
                <w:bCs/>
                <w:szCs w:val="22"/>
                <w:u w:val="single"/>
                <w:lang w:val="en-US"/>
              </w:rPr>
            </w:pPr>
          </w:p>
        </w:tc>
        <w:tc>
          <w:tcPr>
            <w:tcW w:w="6946" w:type="dxa"/>
          </w:tcPr>
          <w:p w:rsidR="00BD4BD5" w:rsidRPr="009B1E05" w:rsidRDefault="00BD4BD5" w:rsidP="003F2803">
            <w:pPr>
              <w:rPr>
                <w:b/>
                <w:bCs/>
                <w:szCs w:val="22"/>
                <w:u w:val="single"/>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Indicative P&amp;ID of the system (Drawing no. NH/DEM/MGD/FF/01</w:t>
            </w:r>
          </w:p>
          <w:p w:rsidR="00BD4BD5" w:rsidRPr="009B1E05" w:rsidRDefault="00BD4BD5" w:rsidP="003F2803">
            <w:pPr>
              <w:shd w:val="clear" w:color="auto" w:fill="FFFFFF"/>
              <w:rPr>
                <w:color w:val="000000"/>
                <w:szCs w:val="22"/>
                <w:lang w:val="en-US"/>
              </w:rPr>
            </w:pPr>
            <w:r>
              <w:rPr>
                <w:color w:val="000000"/>
                <w:szCs w:val="22"/>
                <w:lang w:val="en-US"/>
              </w:rPr>
              <w:t> </w:t>
            </w:r>
            <w:r w:rsidRPr="009B1E05">
              <w:rPr>
                <w:color w:val="000000"/>
                <w:szCs w:val="22"/>
                <w:lang w:val="en-US"/>
              </w:rPr>
              <w:t>Detailed scheme of interconnection of sumps, dry pits etc.-- clause 21.2 "Specific parameters and Layout conditions" of section 21 "Cooling Water System",</w:t>
            </w:r>
          </w:p>
          <w:p w:rsidR="00BD4BD5" w:rsidRPr="009B1E05" w:rsidRDefault="00BD4BD5" w:rsidP="003F2803">
            <w:pPr>
              <w:shd w:val="clear" w:color="auto" w:fill="FFFFFF"/>
              <w:rPr>
                <w:color w:val="000000"/>
                <w:szCs w:val="22"/>
                <w:lang w:val="en-US"/>
              </w:rPr>
            </w:pPr>
            <w:r w:rsidRPr="009B1E05">
              <w:rPr>
                <w:color w:val="000000"/>
                <w:szCs w:val="22"/>
                <w:lang w:val="en-US"/>
              </w:rPr>
              <w:t>Single line diagram of CW system Drg no. NH/DEM/MGD/CW/01</w:t>
            </w:r>
          </w:p>
        </w:tc>
        <w:tc>
          <w:tcPr>
            <w:tcW w:w="6946" w:type="dxa"/>
          </w:tcPr>
          <w:p w:rsidR="00BD4BD5" w:rsidRPr="0069436D" w:rsidRDefault="00BD4BD5" w:rsidP="003F2803">
            <w:pPr>
              <w:rPr>
                <w:szCs w:val="22"/>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 Indicative layout drawings of Aux Buildings and Transformer Yard Area.</w:t>
            </w:r>
          </w:p>
        </w:tc>
        <w:tc>
          <w:tcPr>
            <w:tcW w:w="6946" w:type="dxa"/>
          </w:tcPr>
          <w:p w:rsidR="00BD4BD5" w:rsidRPr="000D6B47" w:rsidRDefault="00BD4BD5" w:rsidP="003F2803">
            <w:pPr>
              <w:rPr>
                <w:color w:val="000000" w:themeColor="text1"/>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Please note that there is no TAC approval as such. Local fire authorities are taken in India. In Oil &amp; Gas sector, the client has their own OISD approvals. Please suggest in such case who will be approving    authority  and who will be approving our engineering and installation for FPS system?</w:t>
            </w:r>
          </w:p>
        </w:tc>
        <w:tc>
          <w:tcPr>
            <w:tcW w:w="6946" w:type="dxa"/>
          </w:tcPr>
          <w:p w:rsidR="00BD4BD5" w:rsidRPr="009B1E05" w:rsidRDefault="00BD4BD5" w:rsidP="003F2803">
            <w:pPr>
              <w:rPr>
                <w:b/>
                <w:bCs/>
                <w:szCs w:val="22"/>
                <w:u w:val="single"/>
                <w:lang w:val="en-US"/>
              </w:rPr>
            </w:pPr>
            <w:r w:rsidRPr="009B1E05">
              <w:rPr>
                <w:color w:val="000000"/>
                <w:szCs w:val="22"/>
                <w:lang w:val="en-US"/>
              </w:rPr>
              <w:t>TAC approval</w:t>
            </w:r>
            <w:r>
              <w:rPr>
                <w:color w:val="000000"/>
                <w:szCs w:val="22"/>
                <w:lang w:val="en-US"/>
              </w:rPr>
              <w:t xml:space="preserve"> shall be included in bidder’s scope.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Please provide drawing showing BHEL, MCC.</w:t>
            </w:r>
          </w:p>
        </w:tc>
        <w:tc>
          <w:tcPr>
            <w:tcW w:w="6946" w:type="dxa"/>
          </w:tcPr>
          <w:p w:rsidR="00BD4BD5" w:rsidRPr="000D6B47" w:rsidRDefault="00BD4BD5" w:rsidP="003F2803">
            <w:pPr>
              <w:rPr>
                <w:color w:val="000000" w:themeColor="text1"/>
                <w:lang w:val="en-US"/>
              </w:rPr>
            </w:pPr>
            <w:r>
              <w:rPr>
                <w:color w:val="000000" w:themeColor="text1"/>
                <w:lang w:val="en-US"/>
              </w:rPr>
              <w:t>MCC for the FDPS is included in bidder’s scope. The location of the same shall be finalized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Location of cooling water header with tap off point for Fire water pumps?</w:t>
            </w:r>
          </w:p>
        </w:tc>
        <w:tc>
          <w:tcPr>
            <w:tcW w:w="6946" w:type="dxa"/>
          </w:tcPr>
          <w:p w:rsidR="00BD4BD5" w:rsidRPr="00D575ED" w:rsidRDefault="00BD4BD5" w:rsidP="003F2803">
            <w:pPr>
              <w:rPr>
                <w:szCs w:val="22"/>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As per clause 10.0 of Technical specifications, the system has been designed by BHEL as per NFPA/TAC guidelines whereas as per scope of NIT Design is also part of scope. Please clarify. If the design is already done by BHEL, Please provide us the details for residual engineering.</w:t>
            </w:r>
          </w:p>
        </w:tc>
        <w:tc>
          <w:tcPr>
            <w:tcW w:w="6946" w:type="dxa"/>
          </w:tcPr>
          <w:p w:rsidR="00BD4BD5" w:rsidRPr="00D575ED" w:rsidRDefault="00BD4BD5" w:rsidP="003F2803">
            <w:pPr>
              <w:rPr>
                <w:szCs w:val="22"/>
                <w:lang w:val="en-US"/>
              </w:rPr>
            </w:pPr>
            <w:r w:rsidRPr="00D575ED">
              <w:rPr>
                <w:szCs w:val="22"/>
                <w:lang w:val="en-US"/>
              </w:rPr>
              <w:t>Design of complete FDPS is included in bidder’s scope as per cl no 1.0 of BHEL’s specification</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Pipes for Hydrant system, HVWS/MVWS are generally in IS 1239/3589 ERW medium or heavy grade depending upon design pressure/working pressure. As per clause 5.7.3 of GTS for Pipe, fitting, Valves and Heat exchanger, it seems BHEL wants to use A 106/A53 Seamless pipes. Please clarify.</w:t>
            </w:r>
          </w:p>
          <w:p w:rsidR="00BD4BD5" w:rsidRPr="009B1E05" w:rsidRDefault="00BD4BD5" w:rsidP="003F2803">
            <w:pPr>
              <w:shd w:val="clear" w:color="auto" w:fill="FFFFFF"/>
              <w:rPr>
                <w:color w:val="000000"/>
                <w:szCs w:val="22"/>
                <w:lang w:val="en-US"/>
              </w:rPr>
            </w:pPr>
          </w:p>
        </w:tc>
        <w:tc>
          <w:tcPr>
            <w:tcW w:w="6946" w:type="dxa"/>
          </w:tcPr>
          <w:p w:rsidR="00BD4BD5" w:rsidRPr="00D575ED" w:rsidRDefault="00BD4BD5" w:rsidP="003F2803">
            <w:pPr>
              <w:rPr>
                <w:szCs w:val="22"/>
                <w:lang w:val="en-US"/>
              </w:rPr>
            </w:pPr>
            <w:r>
              <w:rPr>
                <w:szCs w:val="22"/>
                <w:lang w:val="en-US"/>
              </w:rPr>
              <w:t xml:space="preserve"> BHEL’s specification requirements shall be followed.</w:t>
            </w:r>
            <w:bookmarkStart w:id="0" w:name="_GoBack"/>
            <w:bookmarkEnd w:id="0"/>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 Specifications of “Control &amp; Monitoring system/ Scada” has been enclosed as Volume ii ( c) part 3 &amp; 4, sr. no. 11 of the chapter of tender. Please clarify whether these specs. are related to our scope.</w:t>
            </w:r>
          </w:p>
          <w:p w:rsidR="00BD4BD5" w:rsidRPr="009B1E05" w:rsidRDefault="00BD4BD5" w:rsidP="003F2803">
            <w:pPr>
              <w:shd w:val="clear" w:color="auto" w:fill="FFFFFF"/>
              <w:rPr>
                <w:color w:val="000000"/>
                <w:szCs w:val="22"/>
                <w:lang w:val="en-US"/>
              </w:rPr>
            </w:pPr>
          </w:p>
        </w:tc>
        <w:tc>
          <w:tcPr>
            <w:tcW w:w="6946" w:type="dxa"/>
          </w:tcPr>
          <w:p w:rsidR="00BD4BD5" w:rsidRPr="009B1E05" w:rsidRDefault="00BD4BD5" w:rsidP="003F2803">
            <w:pPr>
              <w:rPr>
                <w:b/>
                <w:bCs/>
                <w:szCs w:val="22"/>
                <w:u w:val="single"/>
                <w:lang w:val="en-US"/>
              </w:rPr>
            </w:pPr>
            <w:r>
              <w:rPr>
                <w:color w:val="000000"/>
                <w:szCs w:val="22"/>
                <w:lang w:val="en-US"/>
              </w:rPr>
              <w:t>Control &amp; Monitoring  of FDPS is included in bidder’s scope.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The piping work for hydrants/HVWS/MVWS headers need to be taken on pipe rack/supports provided by BHEL or we have to provide separate supports/racks etc.</w:t>
            </w:r>
          </w:p>
          <w:p w:rsidR="00BD4BD5" w:rsidRPr="009B1E05" w:rsidRDefault="00BD4BD5" w:rsidP="003F2803">
            <w:pPr>
              <w:shd w:val="clear" w:color="auto" w:fill="FFFFFF"/>
              <w:rPr>
                <w:color w:val="000000"/>
                <w:szCs w:val="22"/>
                <w:lang w:val="en-US"/>
              </w:rPr>
            </w:pPr>
          </w:p>
        </w:tc>
        <w:tc>
          <w:tcPr>
            <w:tcW w:w="6946" w:type="dxa"/>
          </w:tcPr>
          <w:p w:rsidR="00BD4BD5" w:rsidRPr="000D6B47" w:rsidRDefault="00BD4BD5" w:rsidP="003F2803">
            <w:pPr>
              <w:rPr>
                <w:color w:val="000000" w:themeColor="text1"/>
                <w:lang w:val="en-US"/>
              </w:rPr>
            </w:pPr>
            <w:r>
              <w:rPr>
                <w:color w:val="000000" w:themeColor="text1"/>
                <w:lang w:val="en-US"/>
              </w:rPr>
              <w:t>Routing of the Piping shall be finalized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b/>
                <w:bCs/>
                <w:u w:val="single"/>
                <w:lang w:val="en-US"/>
              </w:rPr>
            </w:pPr>
          </w:p>
        </w:tc>
        <w:tc>
          <w:tcPr>
            <w:tcW w:w="6986" w:type="dxa"/>
          </w:tcPr>
          <w:p w:rsidR="00BD4BD5" w:rsidRPr="009B1E05" w:rsidRDefault="00BD4BD5" w:rsidP="003F2803">
            <w:pPr>
              <w:shd w:val="clear" w:color="auto" w:fill="FFFFFF"/>
              <w:rPr>
                <w:color w:val="000000"/>
                <w:szCs w:val="22"/>
                <w:lang w:val="en-US"/>
              </w:rPr>
            </w:pPr>
            <w:r w:rsidRPr="009B1E05">
              <w:rPr>
                <w:color w:val="000000"/>
                <w:szCs w:val="22"/>
                <w:lang w:val="en-US"/>
              </w:rPr>
              <w:t>We envisage that no civil work is in our scope except for hole making in walls etc. and grouting.</w:t>
            </w:r>
          </w:p>
        </w:tc>
        <w:tc>
          <w:tcPr>
            <w:tcW w:w="6946" w:type="dxa"/>
          </w:tcPr>
          <w:p w:rsidR="00BD4BD5" w:rsidRPr="009B1E05" w:rsidRDefault="00BD4BD5" w:rsidP="003F2803">
            <w:pPr>
              <w:rPr>
                <w:b/>
                <w:bCs/>
                <w:szCs w:val="22"/>
                <w:u w:val="single"/>
                <w:lang w:val="en-US"/>
              </w:rPr>
            </w:pPr>
            <w:r>
              <w:rPr>
                <w:color w:val="000000" w:themeColor="text1"/>
                <w:szCs w:val="22"/>
                <w:lang w:val="en-US"/>
              </w:rPr>
              <w:t xml:space="preserve">Only </w:t>
            </w:r>
            <w:r w:rsidRPr="009B1E05">
              <w:rPr>
                <w:color w:val="000000" w:themeColor="text1"/>
                <w:szCs w:val="22"/>
                <w:lang w:val="en-US"/>
              </w:rPr>
              <w:t>Petty civil works like making opening in the walls &amp; making it good after erection is included in bidder’s scope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color w:val="000000" w:themeColor="text1"/>
                <w:u w:val="single"/>
                <w:lang w:val="en-US"/>
              </w:rPr>
            </w:pPr>
          </w:p>
        </w:tc>
        <w:tc>
          <w:tcPr>
            <w:tcW w:w="6986" w:type="dxa"/>
          </w:tcPr>
          <w:p w:rsidR="00BD4BD5" w:rsidRPr="009B1E05" w:rsidRDefault="00BD4BD5" w:rsidP="003F2803">
            <w:pPr>
              <w:rPr>
                <w:color w:val="000000" w:themeColor="text1"/>
                <w:szCs w:val="22"/>
                <w:lang w:val="en-US"/>
              </w:rPr>
            </w:pPr>
            <w:r w:rsidRPr="009B1E05">
              <w:rPr>
                <w:color w:val="000000" w:themeColor="text1"/>
                <w:szCs w:val="22"/>
                <w:lang w:val="en-US"/>
              </w:rPr>
              <w:t>Cross-sectional drawing of cable tray with length.</w:t>
            </w:r>
          </w:p>
          <w:p w:rsidR="00BD4BD5" w:rsidRPr="009B1E05" w:rsidRDefault="00BD4BD5" w:rsidP="003F2803">
            <w:pPr>
              <w:rPr>
                <w:b/>
                <w:bCs/>
                <w:color w:val="000000" w:themeColor="text1"/>
                <w:szCs w:val="22"/>
                <w:u w:val="single"/>
                <w:lang w:val="en-US"/>
              </w:rPr>
            </w:pPr>
          </w:p>
        </w:tc>
        <w:tc>
          <w:tcPr>
            <w:tcW w:w="6946" w:type="dxa"/>
          </w:tcPr>
          <w:p w:rsidR="00BD4BD5" w:rsidRPr="009B1E05" w:rsidRDefault="00BD4BD5" w:rsidP="003F2803">
            <w:pPr>
              <w:rPr>
                <w:b/>
                <w:bCs/>
                <w:color w:val="000000" w:themeColor="text1"/>
                <w:szCs w:val="22"/>
                <w:u w:val="single"/>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color w:val="000000" w:themeColor="text1"/>
                <w:u w:val="single"/>
                <w:lang w:val="en-US"/>
              </w:rPr>
            </w:pPr>
          </w:p>
        </w:tc>
        <w:tc>
          <w:tcPr>
            <w:tcW w:w="6986" w:type="dxa"/>
          </w:tcPr>
          <w:p w:rsidR="00BD4BD5" w:rsidRPr="009B1E05" w:rsidRDefault="00BD4BD5" w:rsidP="003F2803">
            <w:pPr>
              <w:rPr>
                <w:color w:val="000000" w:themeColor="text1"/>
                <w:szCs w:val="22"/>
                <w:lang w:val="en-US"/>
              </w:rPr>
            </w:pPr>
            <w:r w:rsidRPr="009B1E05">
              <w:rPr>
                <w:color w:val="000000" w:themeColor="text1"/>
                <w:szCs w:val="22"/>
                <w:lang w:val="en-US"/>
              </w:rPr>
              <w:t xml:space="preserve">Spec – Part No. As per your consideration of MSD &amp; ASD for control room office, electrical utility area, but it is not clear to us to provide which detection at below false ceiling / above false ceiling. </w:t>
            </w:r>
          </w:p>
          <w:p w:rsidR="00BD4BD5" w:rsidRPr="009B1E05" w:rsidRDefault="00BD4BD5" w:rsidP="003F2803">
            <w:pPr>
              <w:rPr>
                <w:b/>
                <w:bCs/>
                <w:color w:val="000000" w:themeColor="text1"/>
                <w:szCs w:val="22"/>
                <w:u w:val="single"/>
                <w:lang w:val="en-US"/>
              </w:rPr>
            </w:pPr>
          </w:p>
        </w:tc>
        <w:tc>
          <w:tcPr>
            <w:tcW w:w="6946" w:type="dxa"/>
          </w:tcPr>
          <w:p w:rsidR="00BD4BD5" w:rsidRPr="009B1E05" w:rsidRDefault="00BD4BD5" w:rsidP="003F2803">
            <w:pPr>
              <w:rPr>
                <w:color w:val="000000" w:themeColor="text1"/>
                <w:szCs w:val="22"/>
                <w:lang w:val="en-US"/>
              </w:rPr>
            </w:pPr>
            <w:r w:rsidRPr="009B1E05">
              <w:rPr>
                <w:color w:val="000000" w:themeColor="text1"/>
                <w:szCs w:val="22"/>
                <w:lang w:val="en-US"/>
              </w:rPr>
              <w:t xml:space="preserve">Specification requirements to be followed </w:t>
            </w:r>
          </w:p>
        </w:tc>
      </w:tr>
      <w:tr w:rsidR="00BD4BD5" w:rsidRPr="009B1E05" w:rsidTr="00BD4BD5">
        <w:tc>
          <w:tcPr>
            <w:tcW w:w="522" w:type="dxa"/>
          </w:tcPr>
          <w:p w:rsidR="00BD4BD5" w:rsidRPr="009B1E05" w:rsidRDefault="00BD4BD5" w:rsidP="003F2803">
            <w:pPr>
              <w:pStyle w:val="ListParagraph"/>
              <w:numPr>
                <w:ilvl w:val="0"/>
                <w:numId w:val="8"/>
              </w:numPr>
              <w:rPr>
                <w:rFonts w:asciiTheme="minorHAnsi" w:hAnsiTheme="minorHAnsi"/>
                <w:color w:val="000000" w:themeColor="text1"/>
                <w:u w:val="single"/>
                <w:lang w:val="en-US"/>
              </w:rPr>
            </w:pPr>
          </w:p>
        </w:tc>
        <w:tc>
          <w:tcPr>
            <w:tcW w:w="6986" w:type="dxa"/>
          </w:tcPr>
          <w:p w:rsidR="00BD4BD5" w:rsidRPr="009B1E05" w:rsidRDefault="00BD4BD5" w:rsidP="003F2803">
            <w:pPr>
              <w:rPr>
                <w:color w:val="000000" w:themeColor="text1"/>
                <w:szCs w:val="22"/>
                <w:lang w:val="en-US"/>
              </w:rPr>
            </w:pPr>
            <w:r w:rsidRPr="009B1E05">
              <w:rPr>
                <w:color w:val="000000" w:themeColor="text1"/>
                <w:szCs w:val="22"/>
                <w:lang w:val="en-US"/>
              </w:rPr>
              <w:t>Location of Booster Pump House</w:t>
            </w:r>
          </w:p>
        </w:tc>
        <w:tc>
          <w:tcPr>
            <w:tcW w:w="6946" w:type="dxa"/>
          </w:tcPr>
          <w:p w:rsidR="00BD4BD5" w:rsidRPr="009B1E05" w:rsidRDefault="00BD4BD5" w:rsidP="003F2803">
            <w:pPr>
              <w:autoSpaceDE w:val="0"/>
              <w:autoSpaceDN w:val="0"/>
              <w:adjustRightInd w:val="0"/>
              <w:rPr>
                <w:rFonts w:cs="Calibri"/>
                <w:szCs w:val="22"/>
              </w:rPr>
            </w:pPr>
            <w:r w:rsidRPr="009B1E05">
              <w:rPr>
                <w:rFonts w:cs="Calibri"/>
                <w:szCs w:val="22"/>
              </w:rPr>
              <w:t>Booster Pump House shall be located at EL 1083.0 M near the 400 KV Pothead</w:t>
            </w:r>
          </w:p>
          <w:p w:rsidR="00BD4BD5" w:rsidRPr="009B1E05" w:rsidRDefault="00BD4BD5" w:rsidP="003F2803">
            <w:pPr>
              <w:rPr>
                <w:b/>
                <w:bCs/>
                <w:color w:val="000000" w:themeColor="text1"/>
                <w:szCs w:val="22"/>
                <w:u w:val="single"/>
                <w:lang w:val="en-US"/>
              </w:rPr>
            </w:pPr>
            <w:r w:rsidRPr="009B1E05">
              <w:rPr>
                <w:rFonts w:cs="Calibri"/>
                <w:szCs w:val="22"/>
              </w:rPr>
              <w:t xml:space="preserve">Yard </w:t>
            </w:r>
          </w:p>
        </w:tc>
      </w:tr>
    </w:tbl>
    <w:p w:rsidR="00853908" w:rsidRPr="00F14F48" w:rsidRDefault="00853908" w:rsidP="00F14F48">
      <w:pPr>
        <w:jc w:val="center"/>
        <w:rPr>
          <w:lang w:val="en-US"/>
        </w:rPr>
      </w:pPr>
    </w:p>
    <w:sectPr w:rsidR="00853908" w:rsidRPr="00F14F48" w:rsidSect="00B207AA">
      <w:headerReference w:type="default" r:id="rId7"/>
      <w:footerReference w:type="default" r:id="rId8"/>
      <w:pgSz w:w="16838" w:h="11906" w:orient="landscape"/>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65" w:rsidRDefault="00CB2165" w:rsidP="00CB2165">
      <w:pPr>
        <w:spacing w:after="0" w:line="240" w:lineRule="auto"/>
      </w:pPr>
      <w:r>
        <w:separator/>
      </w:r>
    </w:p>
  </w:endnote>
  <w:endnote w:type="continuationSeparator" w:id="0">
    <w:p w:rsidR="00CB2165" w:rsidRDefault="00CB2165" w:rsidP="00CB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D7A" w:rsidRDefault="009B6D7A">
    <w:pPr>
      <w:pStyle w:val="Footer"/>
      <w:jc w:val="center"/>
      <w:rPr>
        <w:caps/>
        <w:noProof/>
        <w:color w:val="5B9BD5" w:themeColor="accent1"/>
      </w:rPr>
    </w:pPr>
    <w:r>
      <w:rPr>
        <w:caps/>
        <w:color w:val="5B9BD5" w:themeColor="accent1"/>
      </w:rPr>
      <w:t xml:space="preserve">page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9796C">
      <w:rPr>
        <w:caps/>
        <w:noProof/>
        <w:color w:val="5B9BD5" w:themeColor="accent1"/>
      </w:rPr>
      <w:t>3</w:t>
    </w:r>
    <w:r>
      <w:rPr>
        <w:caps/>
        <w:noProof/>
        <w:color w:val="5B9BD5" w:themeColor="accent1"/>
      </w:rPr>
      <w:fldChar w:fldCharType="end"/>
    </w:r>
    <w:r>
      <w:rPr>
        <w:caps/>
        <w:noProof/>
        <w:color w:val="5B9BD5" w:themeColor="accent1"/>
      </w:rPr>
      <w:t xml:space="preserve"> of </w:t>
    </w:r>
    <w:r w:rsidR="00F14F48">
      <w:rPr>
        <w:caps/>
        <w:noProof/>
        <w:color w:val="5B9BD5" w:themeColor="accent1"/>
      </w:rPr>
      <w:t>5</w:t>
    </w:r>
  </w:p>
  <w:p w:rsidR="009B6D7A" w:rsidRDefault="009B6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65" w:rsidRDefault="00CB2165" w:rsidP="00CB2165">
      <w:pPr>
        <w:spacing w:after="0" w:line="240" w:lineRule="auto"/>
      </w:pPr>
      <w:r>
        <w:separator/>
      </w:r>
    </w:p>
  </w:footnote>
  <w:footnote w:type="continuationSeparator" w:id="0">
    <w:p w:rsidR="00CB2165" w:rsidRDefault="00CB2165" w:rsidP="00CB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165" w:rsidRDefault="00BD4BD5" w:rsidP="00CB2165">
    <w:pPr>
      <w:pStyle w:val="Header"/>
      <w:jc w:val="center"/>
    </w:pPr>
    <w:r>
      <w:t>BHEL’s replies #4 to the Pre- Bid queries</w:t>
    </w:r>
  </w:p>
  <w:p w:rsidR="00CB2165" w:rsidRDefault="00CB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EB2"/>
    <w:multiLevelType w:val="hybridMultilevel"/>
    <w:tmpl w:val="86944F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87D4F0C"/>
    <w:multiLevelType w:val="hybridMultilevel"/>
    <w:tmpl w:val="23E457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E216C4"/>
    <w:multiLevelType w:val="hybridMultilevel"/>
    <w:tmpl w:val="FF062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42B17"/>
    <w:multiLevelType w:val="hybridMultilevel"/>
    <w:tmpl w:val="BA0E2814"/>
    <w:lvl w:ilvl="0" w:tplc="EFB49616">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0812CD"/>
    <w:multiLevelType w:val="hybridMultilevel"/>
    <w:tmpl w:val="C1349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06A5C"/>
    <w:multiLevelType w:val="hybridMultilevel"/>
    <w:tmpl w:val="03BA51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9095574"/>
    <w:multiLevelType w:val="multilevel"/>
    <w:tmpl w:val="E4B0F034"/>
    <w:lvl w:ilvl="0">
      <w:start w:val="12"/>
      <w:numFmt w:val="decimal"/>
      <w:lvlText w:val="%1."/>
      <w:lvlJc w:val="left"/>
      <w:pPr>
        <w:ind w:left="360" w:hanging="360"/>
      </w:pPr>
      <w:rPr>
        <w:rFonts w:hint="default"/>
        <w:b/>
        <w:sz w:val="28"/>
        <w:szCs w:val="28"/>
      </w:rPr>
    </w:lvl>
    <w:lvl w:ilvl="1">
      <w:start w:val="1"/>
      <w:numFmt w:val="decimal"/>
      <w:lvlText w:val="%1.%2."/>
      <w:lvlJc w:val="left"/>
      <w:pPr>
        <w:ind w:left="1890" w:hanging="360"/>
      </w:pPr>
      <w:rPr>
        <w:rFonts w:ascii="Calibri" w:hAnsi="Calibri" w:cs="Calibri" w:hint="default"/>
        <w:b w:val="0"/>
        <w:color w:val="auto"/>
        <w:sz w:val="24"/>
        <w:szCs w:val="24"/>
      </w:rPr>
    </w:lvl>
    <w:lvl w:ilvl="2">
      <w:start w:val="1"/>
      <w:numFmt w:val="decimal"/>
      <w:lvlText w:val="%1.%2.%3."/>
      <w:lvlJc w:val="left"/>
      <w:pPr>
        <w:ind w:left="2070" w:hanging="360"/>
      </w:pPr>
      <w:rPr>
        <w:rFonts w:ascii="Calibri" w:hAnsi="Calibri" w:cs="Calibri" w:hint="default"/>
        <w:b w:val="0"/>
        <w:color w:val="auto"/>
        <w:sz w:val="24"/>
        <w:szCs w:val="24"/>
      </w:rPr>
    </w:lvl>
    <w:lvl w:ilvl="3">
      <w:start w:val="1"/>
      <w:numFmt w:val="decimal"/>
      <w:lvlText w:val="%1.%2.%3.%4."/>
      <w:lvlJc w:val="left"/>
      <w:pPr>
        <w:ind w:left="1440" w:hanging="360"/>
      </w:pPr>
      <w:rPr>
        <w:rFonts w:ascii="Calibri" w:hAnsi="Calibri" w:cs="Calibri" w:hint="default"/>
        <w:b w:val="0"/>
        <w:sz w:val="24"/>
        <w:szCs w:val="24"/>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7" w15:restartNumberingAfterBreak="0">
    <w:nsid w:val="5DC23137"/>
    <w:multiLevelType w:val="hybridMultilevel"/>
    <w:tmpl w:val="A1805B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3"/>
  </w:num>
  <w:num w:numId="5">
    <w:abstractNumId w:val="4"/>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9B"/>
    <w:rsid w:val="000506FD"/>
    <w:rsid w:val="0007003E"/>
    <w:rsid w:val="00082E9D"/>
    <w:rsid w:val="000B359C"/>
    <w:rsid w:val="000D6B47"/>
    <w:rsid w:val="0011204C"/>
    <w:rsid w:val="001B7B29"/>
    <w:rsid w:val="0022647E"/>
    <w:rsid w:val="0025419A"/>
    <w:rsid w:val="00284E1F"/>
    <w:rsid w:val="00292E82"/>
    <w:rsid w:val="002A0B8F"/>
    <w:rsid w:val="002D623F"/>
    <w:rsid w:val="002F1B03"/>
    <w:rsid w:val="003F2803"/>
    <w:rsid w:val="004D6B9E"/>
    <w:rsid w:val="00525A1C"/>
    <w:rsid w:val="005E23CD"/>
    <w:rsid w:val="00667B61"/>
    <w:rsid w:val="0069436D"/>
    <w:rsid w:val="007B097D"/>
    <w:rsid w:val="007B739B"/>
    <w:rsid w:val="007D7FA8"/>
    <w:rsid w:val="007E03EB"/>
    <w:rsid w:val="007E1121"/>
    <w:rsid w:val="00835EB1"/>
    <w:rsid w:val="00853908"/>
    <w:rsid w:val="00867320"/>
    <w:rsid w:val="00873286"/>
    <w:rsid w:val="00881A9A"/>
    <w:rsid w:val="008C0C3A"/>
    <w:rsid w:val="008D14E8"/>
    <w:rsid w:val="00977A72"/>
    <w:rsid w:val="009B1E05"/>
    <w:rsid w:val="009B6D7A"/>
    <w:rsid w:val="009B79CD"/>
    <w:rsid w:val="00AE2529"/>
    <w:rsid w:val="00B13F94"/>
    <w:rsid w:val="00B207AA"/>
    <w:rsid w:val="00B46920"/>
    <w:rsid w:val="00B9086D"/>
    <w:rsid w:val="00BA68D7"/>
    <w:rsid w:val="00BD4BD5"/>
    <w:rsid w:val="00BE689B"/>
    <w:rsid w:val="00BF5F02"/>
    <w:rsid w:val="00C562DD"/>
    <w:rsid w:val="00C61160"/>
    <w:rsid w:val="00CA156C"/>
    <w:rsid w:val="00CB2165"/>
    <w:rsid w:val="00D575ED"/>
    <w:rsid w:val="00E003D7"/>
    <w:rsid w:val="00EA64C2"/>
    <w:rsid w:val="00EE4E2D"/>
    <w:rsid w:val="00F14F48"/>
    <w:rsid w:val="00F979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93A1"/>
  <w15:chartTrackingRefBased/>
  <w15:docId w15:val="{18B8ACB2-761A-4397-823B-A9AEC3D4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1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165"/>
  </w:style>
  <w:style w:type="paragraph" w:styleId="Footer">
    <w:name w:val="footer"/>
    <w:basedOn w:val="Normal"/>
    <w:link w:val="FooterChar"/>
    <w:uiPriority w:val="99"/>
    <w:unhideWhenUsed/>
    <w:rsid w:val="00CB21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165"/>
  </w:style>
  <w:style w:type="table" w:styleId="TableGrid">
    <w:name w:val="Table Grid"/>
    <w:basedOn w:val="TableNormal"/>
    <w:rsid w:val="00853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F02"/>
    <w:pPr>
      <w:spacing w:after="0" w:line="240" w:lineRule="auto"/>
      <w:ind w:left="720"/>
    </w:pPr>
    <w:rPr>
      <w:rFonts w:ascii="Calibri" w:hAnsi="Calibri" w:cs="Times New Roman"/>
      <w:szCs w:val="22"/>
      <w:lang w:eastAsia="en-IN"/>
    </w:rPr>
  </w:style>
  <w:style w:type="character" w:customStyle="1" w:styleId="CharacterStyle2">
    <w:name w:val="Character Style 2"/>
    <w:uiPriority w:val="99"/>
    <w:rsid w:val="0007003E"/>
    <w:rPr>
      <w:sz w:val="20"/>
      <w:szCs w:val="20"/>
    </w:rPr>
  </w:style>
  <w:style w:type="paragraph" w:styleId="BalloonText">
    <w:name w:val="Balloon Text"/>
    <w:basedOn w:val="Normal"/>
    <w:link w:val="BalloonTextChar"/>
    <w:uiPriority w:val="99"/>
    <w:semiHidden/>
    <w:unhideWhenUsed/>
    <w:rsid w:val="000B359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0B359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2611">
      <w:bodyDiv w:val="1"/>
      <w:marLeft w:val="0"/>
      <w:marRight w:val="0"/>
      <w:marTop w:val="0"/>
      <w:marBottom w:val="0"/>
      <w:divBdr>
        <w:top w:val="none" w:sz="0" w:space="0" w:color="auto"/>
        <w:left w:val="none" w:sz="0" w:space="0" w:color="auto"/>
        <w:bottom w:val="none" w:sz="0" w:space="0" w:color="auto"/>
        <w:right w:val="none" w:sz="0" w:space="0" w:color="auto"/>
      </w:divBdr>
    </w:div>
    <w:div w:id="48335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bhelhyd.co.in</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GUNJAN</dc:creator>
  <cp:keywords/>
  <dc:description/>
  <cp:lastModifiedBy>KUMAR GUNJAN</cp:lastModifiedBy>
  <cp:revision>2</cp:revision>
  <cp:lastPrinted>2017-02-24T10:08:00Z</cp:lastPrinted>
  <dcterms:created xsi:type="dcterms:W3CDTF">2017-03-26T04:17:00Z</dcterms:created>
  <dcterms:modified xsi:type="dcterms:W3CDTF">2017-03-26T04:17:00Z</dcterms:modified>
</cp:coreProperties>
</file>